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страховых организаций</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страховых организаций»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«Экономика страховых организаций».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страховых организаций»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основные направления социально-экономической политики, национальной экономики и страховой отрасли, приоритетные направления развития национальной экономики и страховой отрасли, особенности отраслевой деятельности страховой организации в сфере страхования (перестрахования)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управление проектами в страховании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конфликтологию и регулирование социально-трудовых отношений, обобщение и критический анализ деятельности страховой организации и ее структурных подразделений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разрабатывать стратегию и бизнес-план страховой организации, планировать основные показатели деятельности страховой организации</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принимать оперативные управленческие решения, обосновывать принимаемые управленческие решения с использованием показателей финансово- экономической эффективности, финансового законодательства, определять задачи руководящему составу страховой организации, определять полномочия руководящего состава страховой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уметь  анализировать финансово-экономические показатели бизнес-плана и деятельности страховой организации, анализировать официальные документы; управлять проектами в страховании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применять количественные и качественные методы управления бизнес- процессами страховой организации, использовать методы финансово-аналитической работы</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trPr>
          <w:trHeight w:hRule="exact" w:val="1185.7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планирования и организации деятельности страховой организации в целом, организации работы офисов, структурных подразделений страховой организации и страховых агентов;</w:t>
            </w:r>
          </w:p>
          <w:p>
            <w:pPr>
              <w:jc w:val="left"/>
              <w:spacing w:after="0" w:line="240" w:lineRule="auto"/>
              <w:rPr>
                <w:sz w:val="24"/>
                <w:szCs w:val="24"/>
              </w:rPr>
            </w:pPr>
            <w:r>
              <w:rPr>
                <w:rFonts w:ascii="Times New Roman" w:hAnsi="Times New Roman" w:cs="Times New Roman"/>
                <w:color w:val="#000000"/>
                <w:sz w:val="24"/>
                <w:szCs w:val="24"/>
              </w:rPr>
              <w:t> навыками использования стандартов саморегулируемой организации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финансового рынка</w:t>
            </w:r>
          </w:p>
        </w:tc>
      </w:tr>
      <w:tr>
        <w:trPr>
          <w:trHeight w:hRule="exact" w:val="1396.35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управления деятельностью страховой организации в целом, внедрения прогрессивных форм организации деятельности, навыками организации выполнения поставленных целей, задач и бизнес-плана страховой организацией, навыками управления проектами в страховой деятельности, использования норм законодательства</w:t>
            </w:r>
          </w:p>
        </w:tc>
      </w:tr>
      <w:tr>
        <w:trPr>
          <w:trHeight w:hRule="exact" w:val="1666.83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ПК-3.31 владеть навыками анализа финансово-экономических показателей бизнес-плана и деятельности страховой организации, мониторинга показателей деятельности подразделений страховой организации и страховых агентов навыками контроля финансово-экономических показателей бизнес-плана и деятельности страховой организации, эффективности использования материальных и финансовых ресурсов страховой организации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«Экономика страховых организаций» относится к обязательной части, является дисциплиной Блока Б1. «Дисциплины (модули)».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организации. Виды, организационно – правовые формы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экономика России – взаимосвязанный хозяйственный комплекс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Отрасли и виды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рынок, характеристика его элементов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Ресурсы организации.  Источники формирования и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 оборотные фонды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и структура персонала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движения и использования основных и оборотных фондов 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движения трудовых ресурсов. Эффективность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использования ресурсов 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Производственная программа организации, методы ее обоснования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Понятие прогнозирования и планирования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деятельности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показателей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Расходы страховых организациий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затрат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расходов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видов расходов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Калькуляция стоимости страхового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расходов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Результаты хозяйственной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Ценовая политика организации, этапы ее разработки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финансов и финансовых ресурсов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ставки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финансовых ресурсов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финансовых результатов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отдачи ресурсов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финансовыми ресурсами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57.384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Национальная экономика России – взаимосвязанный хозяйственный комплекс</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содержание и определение понятий: «производственная и непроизводственная сфера», «подразделения народного хозяйства» (сектор экономики), «отраслевой комплекс», «отрасль», «подотрасль», а также отраслей, оказывающих рыночные и нерыночные услуги.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и оборотные фонды страховой организации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фонды страховой организации, их состав, структура и воспроизводственная характеристика. Классификация основных фондов народного хозяйства и ее экономическое назначение. Виды оценок основных фондов. Необходимость переоценок и методы их организации.</w:t>
            </w:r>
          </w:p>
          <w:p>
            <w:pPr>
              <w:jc w:val="both"/>
              <w:spacing w:after="0" w:line="240" w:lineRule="auto"/>
              <w:rPr>
                <w:sz w:val="24"/>
                <w:szCs w:val="24"/>
              </w:rPr>
            </w:pPr>
            <w:r>
              <w:rPr>
                <w:rFonts w:ascii="Times New Roman" w:hAnsi="Times New Roman" w:cs="Times New Roman"/>
                <w:color w:val="#000000"/>
                <w:sz w:val="24"/>
                <w:szCs w:val="24"/>
              </w:rPr>
              <w:t> Виды взноса и амортизации основных фондов.  Оборотные фонды и оборотные средства страховой организации: понятие, состав и классификация. Нормирование как основная часть процесса планирования оборотных средств. Экономическое значение улучшения использования оборотных средств. Показатели использования оборотных средств.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и структура персонала страховой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“рабочая сила”, “трудовые ресурсы”, “кадры”, “производственный персонал”. Состав и структура персонала страховой организации. Понятие профессии, специальности, квалификации.</w:t>
            </w:r>
          </w:p>
          <w:p>
            <w:pPr>
              <w:jc w:val="both"/>
              <w:spacing w:after="0" w:line="240" w:lineRule="auto"/>
              <w:rPr>
                <w:sz w:val="24"/>
                <w:szCs w:val="24"/>
              </w:rPr>
            </w:pPr>
            <w:r>
              <w:rPr>
                <w:rFonts w:ascii="Times New Roman" w:hAnsi="Times New Roman" w:cs="Times New Roman"/>
                <w:color w:val="#000000"/>
                <w:sz w:val="24"/>
                <w:szCs w:val="24"/>
              </w:rPr>
              <w:t> Производительность труда, ее значение в повышении эффективности деятельности.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Понятие прогнозирования и планирования предпринимательской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планов организации, их взаимосвязь.        Основные плановые показатели по видам планирования.</w:t>
            </w:r>
          </w:p>
          <w:p>
            <w:pPr>
              <w:jc w:val="both"/>
              <w:spacing w:after="0" w:line="240" w:lineRule="auto"/>
              <w:rPr>
                <w:sz w:val="24"/>
                <w:szCs w:val="24"/>
              </w:rPr>
            </w:pPr>
            <w:r>
              <w:rPr>
                <w:rFonts w:ascii="Times New Roman" w:hAnsi="Times New Roman" w:cs="Times New Roman"/>
                <w:color w:val="#000000"/>
                <w:sz w:val="24"/>
                <w:szCs w:val="24"/>
              </w:rPr>
              <w:t> Бизнес-план предприятия (проекта, сделки), его назначение.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страховых компаний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Менеджмент в страховых организациях.     Маркетинг в страховании. Понятие и содержание страхового продукта. Страховые посредники.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затрат страховых организаций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затрат, издержек производства и обращения, себестоимости продукции.</w:t>
            </w:r>
          </w:p>
          <w:p>
            <w:pPr>
              <w:jc w:val="both"/>
              <w:spacing w:after="0" w:line="240" w:lineRule="auto"/>
              <w:rPr>
                <w:sz w:val="24"/>
                <w:szCs w:val="24"/>
              </w:rPr>
            </w:pPr>
            <w:r>
              <w:rPr>
                <w:rFonts w:ascii="Times New Roman" w:hAnsi="Times New Roman" w:cs="Times New Roman"/>
                <w:color w:val="#000000"/>
                <w:sz w:val="24"/>
                <w:szCs w:val="24"/>
              </w:rPr>
              <w:t> Принципы формирования состава затрат, включаемых в себестоимость продукции.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Ценовая политика организации, этапы ее разработки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формирования цен в условиях рыночных отношений. Методы ценообразования.</w:t>
            </w:r>
          </w:p>
          <w:p>
            <w:pPr>
              <w:jc w:val="both"/>
              <w:spacing w:after="0" w:line="240" w:lineRule="auto"/>
              <w:rPr>
                <w:sz w:val="24"/>
                <w:szCs w:val="24"/>
              </w:rPr>
            </w:pPr>
            <w:r>
              <w:rPr>
                <w:rFonts w:ascii="Times New Roman" w:hAnsi="Times New Roman" w:cs="Times New Roman"/>
                <w:color w:val="#000000"/>
                <w:sz w:val="24"/>
                <w:szCs w:val="24"/>
              </w:rPr>
              <w:t> Ценовая политика организации, этапы ее разработки. Система модификации цен.</w:t>
            </w:r>
          </w:p>
          <w:p>
            <w:pPr>
              <w:jc w:val="both"/>
              <w:spacing w:after="0" w:line="240" w:lineRule="auto"/>
              <w:rPr>
                <w:sz w:val="24"/>
                <w:szCs w:val="24"/>
              </w:rPr>
            </w:pPr>
            <w:r>
              <w:rPr>
                <w:rFonts w:ascii="Times New Roman" w:hAnsi="Times New Roman" w:cs="Times New Roman"/>
                <w:color w:val="#000000"/>
                <w:sz w:val="24"/>
                <w:szCs w:val="24"/>
              </w:rPr>
              <w:t> Основы построения страховых тарифов. Понятие, состав и структура тарифной ставки.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финансов и финансовых ресурсов страховых организаций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и расходы страховой организации, себестоимость страховых  продуктов. Финансовые результаты деятельности страховых организаций.         Прибыль страховой организации.          Обобщающие показатели эффективности функционирования страховой организации, отрасли, экономики. Показатели эффективности отдачи ресурсов: труда, основного и оборотного капитала. Показатели эффективности затрат: текущих и капитальных.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Отрасли и виды страхования</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Государственное и негосударственное страхование. Организационные формы страхования. Обязательное и добровольное страхование, их отличительные характеристики.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движения и использования основных и оборотных фондов в страховой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оценок основных фондов. Расчет износа и амортизации основных фондов. Показатели эффективности использования основных фондов.       Расчет норм сырья, незавершенного производства, готовой продукции. Определение показателелй оборачиваемости фондов.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движения трудовых ресурсов. Эффективность труда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производительности труда, факторы, обуславливающие ее уровень. Планирование численности и состава персонала.</w:t>
            </w:r>
          </w:p>
          <w:p>
            <w:pPr>
              <w:jc w:val="both"/>
              <w:spacing w:after="0" w:line="240" w:lineRule="auto"/>
              <w:rPr>
                <w:sz w:val="24"/>
                <w:szCs w:val="24"/>
              </w:rPr>
            </w:pPr>
            <w:r>
              <w:rPr>
                <w:rFonts w:ascii="Times New Roman" w:hAnsi="Times New Roman" w:cs="Times New Roman"/>
                <w:color w:val="#000000"/>
                <w:sz w:val="24"/>
                <w:szCs w:val="24"/>
              </w:rPr>
              <w:t> Формы оплаты труда. Характеристика систем сдельной и повременной оплаты труда. Виды надбавок и доплат к заработной плате работающих. Состав фонда оплаты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деятельности страховых компаний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Перспективное (стратегическое) планирование: долгосрочное (10-15 лет) и среднесрочное (5 лет). Текущее (годовое) планирование. Оперативно – производственное планирование.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деятельности страховых организаций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бизнес-процессы страхования. Оценка эффективности управления. Определение  страхового продукта. Организация продаж по отраслям страхования. Организация продаж страховых продуктов. Технологии продаж страховых продуктов.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расходов страховых организаций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Разграничение затрат, относимых на себестоимость продукции (работ, услуг), и финансируемых за счет других источников финансирования.            Понятие постоянных, переменных, производственных и коммерческих издержек Их характеристика и взаимосвязи.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видов расходов страховых организаций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затрат, относимых на себестоимость продукции (работ, услуг).            Определение постоянных, переменных, производственных и коммерческих расходов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Калькуляция стоимости страхового продукта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затрат  по экономическому содержанию и  калькуляционным статьям расхода. Учет элементов затрат, учитываемых в себестоимости продукта и при определении налогооблагаемой прибыли. Методы исчисления  и калькуляции себестоимости  продукта в страховой организации.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ставки страхования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Построение страховых тарифов. Понятие, состав Расчет структуры тарифной ставки.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финансовых ресурсов страховой организации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Расчтет финансовых ресурсов страховых организаций. Формирование источников финансовых ресурсов  и направлений их использования.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финансовых результатов деятельности страховых организаций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доходыов и расходов страховой организации, себестоимости страховых продуктов. Определение финансовых результатов деятельности страховых организаций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отдачи ресурсов страховых организаций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эффективности отдачи ресурсов: труда, основного и оборотного капитала. Определение показателей эффективности затрат.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страховых организаций»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Костюхин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Скрябин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https://urait.ru/bcode/452795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https://urait.ru/bcode/449889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Кусакина,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Рыбасова,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Чередниченко,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Куренная,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Гунько,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Агаларова,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Косинова,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Айдиноа,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Казарова,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АГРУС,</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978-5-9596-1803-2.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https://www.iprbookshop.ru/121717.html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978-5-9916-8590-0.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https://urait.ru/bcode/451287</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Ценжарик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Евневич</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Давыденко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Нестеренко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Артемова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Чеберко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978-5-534-05066-0.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https://urait.ru/bcode/450347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80.5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184.7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2024-2025_ФГОС3++2024_Бак-ОФО-Э(УРиСД)(24)_plx_Экономика страховых организаций</dc:title>
  <dc:creator>FastReport.NET</dc:creator>
</cp:coreProperties>
</file>